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14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Контрольно-счетная комиссия</w:t>
      </w:r>
    </w:p>
    <w:p w14:paraId="07290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Богородского муниципального округа Нижегородской области</w:t>
      </w:r>
    </w:p>
    <w:p w14:paraId="563837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107950</wp:posOffset>
                </wp:positionV>
                <wp:extent cx="6372860" cy="10160"/>
                <wp:effectExtent l="0" t="4445" r="8890" b="1397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2860" cy="101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0" o:spid="_x0000_s1026" o:spt="32" type="#_x0000_t32" style="position:absolute;left:0pt;flip:y;margin-left:-17.6pt;margin-top:8.5pt;height:0.8pt;width:501.8pt;z-index:251659264;mso-width-relative:page;mso-height-relative:page;" filled="f" stroked="t" coordsize="21600,21600" o:gfxdata="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EWFbtcA&#10;AAAJAQAADwAAAAAAAAABACAAAAAiAAAAZHJzL2Rvd25yZXYueG1sUEsBAhQAFAAAAAgAh07iQM7e&#10;RTznAQAA+A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8CD50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14:paraId="072E64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отчет об исполнении бюджета </w:t>
      </w:r>
    </w:p>
    <w:p w14:paraId="4863DF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Богородского муниципального округа Нижегородской области </w:t>
      </w:r>
    </w:p>
    <w:p w14:paraId="72F6CB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1 квартал 202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14:paraId="7D4C22C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25306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заключение подготовлено контрольно-счетной комиссией Богородского муниципального округа Нижегородской области  (далее – контрольно-счетная комиссия) в соответствии с нормами Бюджетного Кодекса Российской Федерации (далее – БК РФ), решениями Совета депутатов Богородского муниципального округа Нижегородской области от 09.10.2020 № 26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Об утверждении Положения о бюджетном процессе в Богородском муниципальном округе Нижегородской области» (далее – Положение о бюджетном процессе) и от 16.12.2021 № 203 «</w:t>
      </w:r>
      <w:r>
        <w:rPr>
          <w:rFonts w:ascii="Times New Roman" w:hAnsi="Times New Roman" w:cs="Times New Roman"/>
          <w:sz w:val="28"/>
          <w:szCs w:val="28"/>
        </w:rPr>
        <w:t>О наделении правами юридического лица контрольно-счетную комиссию Богородского муниципального округа Нижегородской области и об утверждении Положения о контрольно-счетной комиссии Богородского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DB9D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F88D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Общие положения</w:t>
      </w:r>
    </w:p>
    <w:p w14:paraId="41218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Отчет об исполнении бюджета Богородского муниципального округа Нижегородской области (далее – бюджет) за 1 квартал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представлен администрацией Богородского муниципального округа Нижегородской области в соответствии со статьей 264.2 БК РФ, главой 31 Положения о бюджетном процессе в составе:</w:t>
      </w:r>
    </w:p>
    <w:p w14:paraId="3612A503">
      <w:pPr>
        <w:numPr>
          <w:ilvl w:val="0"/>
          <w:numId w:val="1"/>
        </w:numPr>
        <w:spacing w:after="0" w:line="240" w:lineRule="auto"/>
        <w:ind w:firstLine="658" w:firstLineChars="23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Богородского муниципального округа Ниж</w:t>
      </w:r>
      <w:r>
        <w:rPr>
          <w:rFonts w:hint="default" w:ascii="Times New Roman" w:hAnsi="Times New Roman" w:cs="Times New Roman"/>
          <w:sz w:val="28"/>
          <w:szCs w:val="28"/>
        </w:rPr>
        <w:t>егородской области «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Об исполнении бюджета Богородского муниципального округа Нижегородской области за 1 квартал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hint="default" w:ascii="Times New Roman" w:hAnsi="Times New Roman" w:cs="Times New Roman"/>
          <w:sz w:val="28"/>
          <w:szCs w:val="28"/>
        </w:rPr>
        <w:t>» от 22.04.2026  № 17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hint="default" w:ascii="Times New Roman" w:hAnsi="Times New Roman" w:cs="Times New Roman"/>
          <w:sz w:val="28"/>
          <w:szCs w:val="28"/>
        </w:rPr>
        <w:t>7;</w:t>
      </w:r>
    </w:p>
    <w:p w14:paraId="5794BACB">
      <w:pPr>
        <w:numPr>
          <w:ilvl w:val="0"/>
          <w:numId w:val="1"/>
        </w:numPr>
        <w:spacing w:after="0" w:line="240" w:lineRule="auto"/>
        <w:ind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об использовании бюджетных ассигнований дорожного фонда муниципального округа;</w:t>
      </w:r>
    </w:p>
    <w:p w14:paraId="1CA6EEB9">
      <w:pPr>
        <w:numPr>
          <w:ilvl w:val="0"/>
          <w:numId w:val="1"/>
        </w:numPr>
        <w:spacing w:after="0" w:line="240" w:lineRule="auto"/>
        <w:ind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об использовании резервных фондов муниципального округа;</w:t>
      </w:r>
    </w:p>
    <w:p w14:paraId="3F42B7BE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информация об осуществлении бюджетных инвестиций в объекты капитального строительства с разбивкой по объектам капитального строительства.</w:t>
      </w:r>
    </w:p>
    <w:p w14:paraId="797FA3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E42C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Формирование плановых значений основных параметров бюджета</w:t>
      </w:r>
    </w:p>
    <w:p w14:paraId="278092A3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r>
        <w:rPr>
          <w:rFonts w:ascii="Times New Roman" w:hAnsi="Times New Roman"/>
          <w:b w:val="0"/>
          <w:bCs/>
          <w:sz w:val="28"/>
          <w:szCs w:val="28"/>
        </w:rPr>
        <w:t>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редакции от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26.03.2026 № 25</w:t>
      </w:r>
      <w:r>
        <w:rPr>
          <w:rFonts w:ascii="Times New Roman" w:hAnsi="Times New Roman" w:cs="Times New Roman"/>
          <w:color w:val="000000"/>
          <w:sz w:val="28"/>
          <w:szCs w:val="28"/>
        </w:rPr>
        <w:t>) (далее – Решение о бю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джете) с учётом внесения изменений в бюджетную роспись доходы бюджета утверждены в сумме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3 740 34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6,00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тыс. рублей, расходы –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3 992 551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22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тыс. рублей, дефицит –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252 205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>22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тыс. рублей.</w:t>
      </w:r>
    </w:p>
    <w:p w14:paraId="68A3D4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плановых назначений основных параметров бюджета на 01.04.202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представлено в таблице № 1:</w:t>
      </w:r>
    </w:p>
    <w:p w14:paraId="22E4551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Таблица № 1</w:t>
      </w:r>
    </w:p>
    <w:p w14:paraId="09F9344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(тыс. рублей)</w:t>
      </w:r>
    </w:p>
    <w:tbl>
      <w:tblPr>
        <w:tblStyle w:val="2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1842"/>
        <w:gridCol w:w="1843"/>
        <w:gridCol w:w="1950"/>
      </w:tblGrid>
      <w:tr w14:paraId="56DBC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noWrap/>
          </w:tcPr>
          <w:p w14:paraId="14BF5D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7D2FF1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</w:t>
            </w:r>
          </w:p>
          <w:p w14:paraId="72312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/>
          </w:tcPr>
          <w:p w14:paraId="324E6A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</w:t>
            </w:r>
          </w:p>
          <w:p w14:paraId="2838EB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noWrap/>
          </w:tcPr>
          <w:p w14:paraId="24C5C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Профицит (+), Дефицит (-)</w:t>
            </w:r>
          </w:p>
        </w:tc>
      </w:tr>
      <w:tr w14:paraId="53D216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noWrap/>
          </w:tcPr>
          <w:p w14:paraId="0664D04C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Решение о бюджете</w:t>
            </w:r>
            <w:r>
              <w:rPr>
                <w:rFonts w:hint="default" w:ascii="Times New Roman" w:hAnsi="Times New Roman" w:eastAsia="Times New Roman,Bold" w:cs="Times New Roman"/>
                <w:bCs/>
                <w:color w:val="000000"/>
                <w:sz w:val="20"/>
                <w:szCs w:val="20"/>
                <w:lang w:val="ru-RU"/>
              </w:rPr>
              <w:t xml:space="preserve"> от</w:t>
            </w: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 w:val="20"/>
                <w:szCs w:val="20"/>
              </w:rPr>
              <w:t>11.12.2025 № 148</w:t>
            </w:r>
          </w:p>
        </w:tc>
        <w:tc>
          <w:tcPr>
            <w:tcW w:w="1842" w:type="dxa"/>
            <w:noWrap/>
          </w:tcPr>
          <w:p w14:paraId="2ED481E1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629 377,80</w:t>
            </w:r>
          </w:p>
        </w:tc>
        <w:tc>
          <w:tcPr>
            <w:tcW w:w="1843" w:type="dxa"/>
            <w:noWrap/>
          </w:tcPr>
          <w:p w14:paraId="303D2D40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689 377,80</w:t>
            </w:r>
          </w:p>
        </w:tc>
        <w:tc>
          <w:tcPr>
            <w:tcW w:w="1950" w:type="dxa"/>
            <w:noWrap/>
          </w:tcPr>
          <w:p w14:paraId="1931DE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14:paraId="6578BC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noWrap/>
          </w:tcPr>
          <w:p w14:paraId="18F0A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Изменения, внесенные в Решение о бюджете в течение 1 квартала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42" w:type="dxa"/>
            <w:noWrap/>
            <w:vAlign w:val="center"/>
          </w:tcPr>
          <w:p w14:paraId="0CD79AC0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108 606,94</w:t>
            </w:r>
          </w:p>
        </w:tc>
        <w:tc>
          <w:tcPr>
            <w:tcW w:w="1843" w:type="dxa"/>
            <w:noWrap/>
            <w:vAlign w:val="center"/>
          </w:tcPr>
          <w:p w14:paraId="6F10F02A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300 812,16</w:t>
            </w:r>
          </w:p>
        </w:tc>
        <w:tc>
          <w:tcPr>
            <w:tcW w:w="1950" w:type="dxa"/>
            <w:noWrap/>
            <w:vAlign w:val="center"/>
          </w:tcPr>
          <w:p w14:paraId="0DB9A770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192 205,22</w:t>
            </w:r>
          </w:p>
        </w:tc>
      </w:tr>
      <w:tr w14:paraId="2B545B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3936" w:type="dxa"/>
            <w:noWrap/>
          </w:tcPr>
          <w:p w14:paraId="7D1292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Решение о бюджете с учетом всех изменений</w:t>
            </w:r>
          </w:p>
        </w:tc>
        <w:tc>
          <w:tcPr>
            <w:tcW w:w="1842" w:type="dxa"/>
            <w:noWrap/>
          </w:tcPr>
          <w:p w14:paraId="36D67A18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3 737 984,74</w:t>
            </w:r>
          </w:p>
        </w:tc>
        <w:tc>
          <w:tcPr>
            <w:tcW w:w="1843" w:type="dxa"/>
            <w:noWrap/>
          </w:tcPr>
          <w:p w14:paraId="3D9C7DCE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3 990 189,96</w:t>
            </w:r>
          </w:p>
        </w:tc>
        <w:tc>
          <w:tcPr>
            <w:tcW w:w="1950" w:type="dxa"/>
            <w:noWrap/>
          </w:tcPr>
          <w:p w14:paraId="71DA81BE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52 205,22</w:t>
            </w:r>
          </w:p>
        </w:tc>
      </w:tr>
      <w:tr w14:paraId="0538A6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noWrap/>
          </w:tcPr>
          <w:p w14:paraId="004E5F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Уточнение плановых назначений без внесения изменений в решение о бюджете</w:t>
            </w:r>
          </w:p>
        </w:tc>
        <w:tc>
          <w:tcPr>
            <w:tcW w:w="1842" w:type="dxa"/>
            <w:noWrap/>
          </w:tcPr>
          <w:p w14:paraId="4363EE6F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+2 361,26</w:t>
            </w:r>
          </w:p>
        </w:tc>
        <w:tc>
          <w:tcPr>
            <w:tcW w:w="1843" w:type="dxa"/>
            <w:noWrap/>
          </w:tcPr>
          <w:p w14:paraId="111165CA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+2 361,26</w:t>
            </w:r>
          </w:p>
        </w:tc>
        <w:tc>
          <w:tcPr>
            <w:tcW w:w="1950" w:type="dxa"/>
            <w:noWrap/>
          </w:tcPr>
          <w:p w14:paraId="491947F8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14:paraId="77D0F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noWrap/>
          </w:tcPr>
          <w:p w14:paraId="6E3B03E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Уточненные плановые назначения на 01.04.2025</w:t>
            </w:r>
          </w:p>
        </w:tc>
        <w:tc>
          <w:tcPr>
            <w:tcW w:w="1842" w:type="dxa"/>
            <w:noWrap/>
          </w:tcPr>
          <w:p w14:paraId="042A23FB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3 740 34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6,00</w:t>
            </w:r>
          </w:p>
        </w:tc>
        <w:tc>
          <w:tcPr>
            <w:tcW w:w="1843" w:type="dxa"/>
            <w:noWrap/>
          </w:tcPr>
          <w:p w14:paraId="500CC9CB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3 992 551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22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0" w:type="dxa"/>
            <w:noWrap/>
          </w:tcPr>
          <w:p w14:paraId="5EC0C72B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252 205,22</w:t>
            </w:r>
          </w:p>
        </w:tc>
      </w:tr>
    </w:tbl>
    <w:p w14:paraId="2A840C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11324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2. Исполнение бюджета</w:t>
      </w:r>
    </w:p>
    <w:p w14:paraId="5BAE3F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исполнения бюджета за 1 квартал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представлен в таблице 2.</w:t>
      </w:r>
    </w:p>
    <w:p w14:paraId="7EFD1757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2</w:t>
      </w:r>
    </w:p>
    <w:tbl>
      <w:tblPr>
        <w:tblStyle w:val="23"/>
        <w:tblW w:w="957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163"/>
        <w:gridCol w:w="2126"/>
        <w:gridCol w:w="2329"/>
        <w:gridCol w:w="1180"/>
      </w:tblGrid>
      <w:tr w14:paraId="048E41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vMerge w:val="restart"/>
            <w:noWrap/>
          </w:tcPr>
          <w:p w14:paraId="37003C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vMerge w:val="restart"/>
            <w:noWrap/>
          </w:tcPr>
          <w:p w14:paraId="20F09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Исполнение за </w:t>
            </w:r>
          </w:p>
          <w:p w14:paraId="215870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квартал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  <w:p w14:paraId="0489B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тыс.руб.</w:t>
            </w:r>
          </w:p>
          <w:p w14:paraId="345234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noWrap/>
            <w:vAlign w:val="top"/>
          </w:tcPr>
          <w:p w14:paraId="07981A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Исполнение за </w:t>
            </w:r>
          </w:p>
          <w:p w14:paraId="51A11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квартал 2025 года</w:t>
            </w:r>
          </w:p>
          <w:p w14:paraId="301BFB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тыс.руб.</w:t>
            </w:r>
          </w:p>
          <w:p w14:paraId="61A91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9" w:type="dxa"/>
            <w:gridSpan w:val="2"/>
            <w:noWrap/>
          </w:tcPr>
          <w:p w14:paraId="208982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1 кварталу</w:t>
            </w:r>
          </w:p>
          <w:p w14:paraId="43526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</w:tr>
      <w:tr w14:paraId="56FA39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vMerge w:val="continue"/>
            <w:noWrap/>
          </w:tcPr>
          <w:p w14:paraId="74394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vMerge w:val="continue"/>
            <w:noWrap/>
          </w:tcPr>
          <w:p w14:paraId="6FF89C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continue"/>
            <w:noWrap/>
          </w:tcPr>
          <w:p w14:paraId="645720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9" w:type="dxa"/>
            <w:noWrap/>
          </w:tcPr>
          <w:p w14:paraId="32B349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тыс.руб.</w:t>
            </w:r>
          </w:p>
        </w:tc>
        <w:tc>
          <w:tcPr>
            <w:tcW w:w="1180" w:type="dxa"/>
            <w:noWrap/>
          </w:tcPr>
          <w:p w14:paraId="10EEF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%</w:t>
            </w:r>
          </w:p>
        </w:tc>
      </w:tr>
      <w:tr w14:paraId="34D2D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3" w:type="dxa"/>
            <w:noWrap/>
          </w:tcPr>
          <w:p w14:paraId="50B427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2163" w:type="dxa"/>
            <w:noWrap/>
            <w:vAlign w:val="top"/>
          </w:tcPr>
          <w:p w14:paraId="7A2CA4E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650 136,14 </w:t>
            </w:r>
          </w:p>
        </w:tc>
        <w:tc>
          <w:tcPr>
            <w:tcW w:w="2126" w:type="dxa"/>
            <w:noWrap/>
            <w:vAlign w:val="top"/>
          </w:tcPr>
          <w:p w14:paraId="379F69E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777 418,81 </w:t>
            </w:r>
          </w:p>
        </w:tc>
        <w:tc>
          <w:tcPr>
            <w:tcW w:w="2329" w:type="dxa"/>
            <w:noWrap/>
            <w:vAlign w:val="top"/>
          </w:tcPr>
          <w:p w14:paraId="2B2F3AE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-127 282,67 </w:t>
            </w:r>
          </w:p>
        </w:tc>
        <w:tc>
          <w:tcPr>
            <w:tcW w:w="1180" w:type="dxa"/>
            <w:noWrap/>
            <w:vAlign w:val="top"/>
          </w:tcPr>
          <w:p w14:paraId="16CB8F7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16,4 </w:t>
            </w:r>
          </w:p>
        </w:tc>
      </w:tr>
      <w:tr w14:paraId="71BFD9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noWrap/>
          </w:tcPr>
          <w:p w14:paraId="7A42DF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163" w:type="dxa"/>
            <w:noWrap/>
            <w:vAlign w:val="top"/>
          </w:tcPr>
          <w:p w14:paraId="6DE8079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780 671,04 </w:t>
            </w:r>
          </w:p>
        </w:tc>
        <w:tc>
          <w:tcPr>
            <w:tcW w:w="2126" w:type="dxa"/>
            <w:noWrap/>
            <w:vAlign w:val="top"/>
          </w:tcPr>
          <w:p w14:paraId="40081E0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749 712,61 </w:t>
            </w:r>
          </w:p>
        </w:tc>
        <w:tc>
          <w:tcPr>
            <w:tcW w:w="2329" w:type="dxa"/>
            <w:noWrap/>
            <w:vAlign w:val="top"/>
          </w:tcPr>
          <w:p w14:paraId="25E613F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30 958,43 </w:t>
            </w:r>
          </w:p>
        </w:tc>
        <w:tc>
          <w:tcPr>
            <w:tcW w:w="1180" w:type="dxa"/>
            <w:noWrap/>
            <w:vAlign w:val="top"/>
          </w:tcPr>
          <w:p w14:paraId="31B1CA9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- 4,1 </w:t>
            </w:r>
          </w:p>
        </w:tc>
      </w:tr>
      <w:tr w14:paraId="0E19A9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noWrap/>
          </w:tcPr>
          <w:p w14:paraId="47CDEA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Профицит (+), Дефицит (-)</w:t>
            </w:r>
          </w:p>
        </w:tc>
        <w:tc>
          <w:tcPr>
            <w:tcW w:w="2163" w:type="dxa"/>
            <w:noWrap/>
            <w:vAlign w:val="top"/>
          </w:tcPr>
          <w:p w14:paraId="45BE399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-130 534,90 </w:t>
            </w:r>
          </w:p>
        </w:tc>
        <w:tc>
          <w:tcPr>
            <w:tcW w:w="2126" w:type="dxa"/>
            <w:noWrap/>
            <w:vAlign w:val="top"/>
          </w:tcPr>
          <w:p w14:paraId="0216F60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27 706,20 </w:t>
            </w:r>
          </w:p>
        </w:tc>
        <w:tc>
          <w:tcPr>
            <w:tcW w:w="2329" w:type="dxa"/>
            <w:noWrap/>
            <w:vAlign w:val="top"/>
          </w:tcPr>
          <w:p w14:paraId="4EA3EAC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1180" w:type="dxa"/>
            <w:noWrap/>
            <w:vAlign w:val="top"/>
          </w:tcPr>
          <w:p w14:paraId="6A53745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Х</w:t>
            </w:r>
          </w:p>
        </w:tc>
      </w:tr>
    </w:tbl>
    <w:p w14:paraId="60BD97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89E9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2.1. Доходы</w:t>
      </w:r>
    </w:p>
    <w:p w14:paraId="0C727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Уточненный годовой план по доходам на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составил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3 740 34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6,00</w:t>
      </w:r>
      <w:r>
        <w:rPr>
          <w:rFonts w:hint="default" w:ascii="Times New Roman" w:hAnsi="Times New Roman" w:eastAsia="Times New Roman-Bold" w:cs="Times New Roman"/>
          <w:b w:val="0"/>
          <w:bCs w:val="0"/>
          <w:color w:val="000000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тыс. рублей, кассовое исполнение за 1 квартал 202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года –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650 136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4</w:t>
      </w:r>
      <w:r>
        <w:rPr>
          <w:rFonts w:hint="default" w:ascii="Times New Roman" w:hAnsi="Times New Roman" w:eastAsia="Times New Roman-Bold" w:cs="Times New Roman"/>
          <w:b w:val="0"/>
          <w:bCs w:val="0"/>
          <w:color w:val="000000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тыс. рублей или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17,4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% к уточненному годовому плану. Налоговые и неналоговые доходы поступили в сумме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208 717,52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тыс. рублей, что составл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яет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,8 % к годовому плану.</w:t>
      </w:r>
    </w:p>
    <w:p w14:paraId="3DCB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Налоговые доходы</w:t>
      </w:r>
      <w:r>
        <w:rPr>
          <w:rFonts w:ascii="Times New Roman" w:hAnsi="Times New Roman" w:cs="Times New Roman"/>
          <w:sz w:val="28"/>
          <w:szCs w:val="28"/>
        </w:rPr>
        <w:t xml:space="preserve"> в отчетном периоде поступили в сумме </w:t>
      </w:r>
      <w:r>
        <w:rPr>
          <w:rFonts w:ascii="Times New Roman" w:hAnsi="Times New Roman" w:eastAsia="Times New Roman-Bold" w:cs="Times New Roman"/>
          <w:color w:val="000000"/>
          <w:sz w:val="28"/>
          <w:szCs w:val="28"/>
          <w:lang w:eastAsia="zh-CN"/>
        </w:rPr>
        <w:t>18</w:t>
      </w:r>
      <w:r>
        <w:rPr>
          <w:rFonts w:hint="default" w:ascii="Times New Roman" w:hAnsi="Times New Roman" w:eastAsia="Times New Roman-Bold" w:cs="Times New Roman"/>
          <w:color w:val="000000"/>
          <w:sz w:val="28"/>
          <w:szCs w:val="28"/>
          <w:lang w:val="ru-RU" w:eastAsia="zh-CN"/>
        </w:rPr>
        <w:t>0 166,30</w:t>
      </w:r>
      <w:r>
        <w:rPr>
          <w:rFonts w:ascii="Times New Roman" w:hAnsi="Times New Roman" w:eastAsia="Times New Roman-Bold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 или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4,6</w:t>
      </w:r>
      <w:r>
        <w:rPr>
          <w:rFonts w:ascii="Times New Roman" w:hAnsi="Times New Roman" w:cs="Times New Roman"/>
          <w:sz w:val="28"/>
          <w:szCs w:val="28"/>
        </w:rPr>
        <w:t xml:space="preserve"> % к годовому плану, что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3 988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2,2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ru-RU"/>
        </w:rPr>
        <w:t>меньше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в аналогичном отчетном периоде прошлого года.</w:t>
      </w:r>
    </w:p>
    <w:p w14:paraId="1715B6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исполнении в отчетном периоде налоговых доходов по подгруппам представлена в таблице 3:</w:t>
      </w:r>
    </w:p>
    <w:p w14:paraId="00AFBE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0549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C4F8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077B6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3</w:t>
      </w:r>
    </w:p>
    <w:tbl>
      <w:tblPr>
        <w:tblStyle w:val="23"/>
        <w:tblW w:w="946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260"/>
        <w:gridCol w:w="1559"/>
        <w:gridCol w:w="1559"/>
        <w:gridCol w:w="1559"/>
        <w:gridCol w:w="852"/>
      </w:tblGrid>
      <w:tr w14:paraId="5A02AF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noWrap/>
          </w:tcPr>
          <w:p w14:paraId="01E7C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п/группа</w:t>
            </w:r>
          </w:p>
          <w:p w14:paraId="439951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noWrap/>
          </w:tcPr>
          <w:p w14:paraId="42B800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подгруппы</w:t>
            </w:r>
          </w:p>
          <w:p w14:paraId="08F3AC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noWrap/>
          </w:tcPr>
          <w:p w14:paraId="0F54E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</w:t>
            </w:r>
          </w:p>
          <w:p w14:paraId="3D8649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квартал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1559" w:type="dxa"/>
            <w:vMerge w:val="restart"/>
            <w:noWrap/>
          </w:tcPr>
          <w:p w14:paraId="6815D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Исполнение за </w:t>
            </w:r>
          </w:p>
          <w:p w14:paraId="1458AC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квартал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2411" w:type="dxa"/>
            <w:gridSpan w:val="2"/>
            <w:noWrap/>
          </w:tcPr>
          <w:p w14:paraId="7B8BD6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Отклонение к 1 кварталу </w:t>
            </w:r>
          </w:p>
          <w:p w14:paraId="2783BA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</w:tr>
      <w:tr w14:paraId="1A4DB2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vMerge w:val="continue"/>
            <w:noWrap/>
          </w:tcPr>
          <w:p w14:paraId="48F378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  <w:noWrap/>
          </w:tcPr>
          <w:p w14:paraId="084EC9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noWrap/>
          </w:tcPr>
          <w:p w14:paraId="01314A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noWrap/>
          </w:tcPr>
          <w:p w14:paraId="140DAC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49A9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руб.</w:t>
            </w:r>
          </w:p>
        </w:tc>
        <w:tc>
          <w:tcPr>
            <w:tcW w:w="852" w:type="dxa"/>
            <w:noWrap/>
          </w:tcPr>
          <w:p w14:paraId="3C84B9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% </w:t>
            </w:r>
          </w:p>
        </w:tc>
      </w:tr>
      <w:tr w14:paraId="438E29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noWrap/>
          </w:tcPr>
          <w:p w14:paraId="5A2AC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</w:t>
            </w:r>
          </w:p>
        </w:tc>
        <w:tc>
          <w:tcPr>
            <w:tcW w:w="3260" w:type="dxa"/>
            <w:noWrap/>
          </w:tcPr>
          <w:p w14:paraId="38A93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noWrap/>
            <w:vAlign w:val="top"/>
          </w:tcPr>
          <w:p w14:paraId="7CBD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022,87</w:t>
            </w:r>
          </w:p>
        </w:tc>
        <w:tc>
          <w:tcPr>
            <w:tcW w:w="1559" w:type="dxa"/>
            <w:noWrap/>
            <w:vAlign w:val="top"/>
          </w:tcPr>
          <w:p w14:paraId="002C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959,41</w:t>
            </w:r>
          </w:p>
        </w:tc>
        <w:tc>
          <w:tcPr>
            <w:tcW w:w="1559" w:type="dxa"/>
            <w:noWrap/>
            <w:vAlign w:val="top"/>
          </w:tcPr>
          <w:p w14:paraId="1F3BF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063,46</w:t>
            </w:r>
          </w:p>
        </w:tc>
        <w:tc>
          <w:tcPr>
            <w:tcW w:w="852" w:type="dxa"/>
            <w:noWrap/>
            <w:vAlign w:val="top"/>
          </w:tcPr>
          <w:p w14:paraId="7550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9,0</w:t>
            </w:r>
          </w:p>
        </w:tc>
      </w:tr>
      <w:tr w14:paraId="1E8F99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75" w:type="dxa"/>
            <w:noWrap/>
          </w:tcPr>
          <w:p w14:paraId="0CCDC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</w:t>
            </w:r>
          </w:p>
        </w:tc>
        <w:tc>
          <w:tcPr>
            <w:tcW w:w="3260" w:type="dxa"/>
            <w:noWrap/>
          </w:tcPr>
          <w:p w14:paraId="5308F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559" w:type="dxa"/>
            <w:noWrap/>
            <w:vAlign w:val="top"/>
          </w:tcPr>
          <w:p w14:paraId="38CEA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028,65</w:t>
            </w:r>
          </w:p>
        </w:tc>
        <w:tc>
          <w:tcPr>
            <w:tcW w:w="1559" w:type="dxa"/>
            <w:noWrap/>
            <w:vAlign w:val="top"/>
          </w:tcPr>
          <w:p w14:paraId="6577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069,45</w:t>
            </w:r>
          </w:p>
        </w:tc>
        <w:tc>
          <w:tcPr>
            <w:tcW w:w="1559" w:type="dxa"/>
            <w:noWrap/>
            <w:vAlign w:val="top"/>
          </w:tcPr>
          <w:p w14:paraId="5C94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959,2</w:t>
            </w:r>
          </w:p>
        </w:tc>
        <w:tc>
          <w:tcPr>
            <w:tcW w:w="852" w:type="dxa"/>
            <w:noWrap/>
            <w:vAlign w:val="top"/>
          </w:tcPr>
          <w:p w14:paraId="22846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7,3 </w:t>
            </w:r>
          </w:p>
        </w:tc>
      </w:tr>
      <w:tr w14:paraId="55129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noWrap/>
          </w:tcPr>
          <w:p w14:paraId="3264E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1 05</w:t>
            </w:r>
          </w:p>
        </w:tc>
        <w:tc>
          <w:tcPr>
            <w:tcW w:w="3260" w:type="dxa"/>
            <w:noWrap/>
          </w:tcPr>
          <w:p w14:paraId="5521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noWrap/>
            <w:vAlign w:val="top"/>
          </w:tcPr>
          <w:p w14:paraId="5033D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225,51</w:t>
            </w:r>
          </w:p>
        </w:tc>
        <w:tc>
          <w:tcPr>
            <w:tcW w:w="1559" w:type="dxa"/>
            <w:noWrap/>
            <w:vAlign w:val="top"/>
          </w:tcPr>
          <w:p w14:paraId="54336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008,4</w:t>
            </w:r>
          </w:p>
        </w:tc>
        <w:tc>
          <w:tcPr>
            <w:tcW w:w="1559" w:type="dxa"/>
            <w:noWrap/>
            <w:vAlign w:val="top"/>
          </w:tcPr>
          <w:p w14:paraId="7F01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782,89</w:t>
            </w:r>
          </w:p>
        </w:tc>
        <w:tc>
          <w:tcPr>
            <w:tcW w:w="852" w:type="dxa"/>
            <w:noWrap/>
            <w:vAlign w:val="top"/>
          </w:tcPr>
          <w:p w14:paraId="2E2A8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62,6 </w:t>
            </w:r>
          </w:p>
        </w:tc>
      </w:tr>
      <w:tr w14:paraId="468D99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noWrap/>
          </w:tcPr>
          <w:p w14:paraId="5C8C4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1 06</w:t>
            </w:r>
          </w:p>
        </w:tc>
        <w:tc>
          <w:tcPr>
            <w:tcW w:w="3260" w:type="dxa"/>
            <w:noWrap/>
          </w:tcPr>
          <w:p w14:paraId="6033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noWrap/>
            <w:vAlign w:val="top"/>
          </w:tcPr>
          <w:p w14:paraId="47797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638,09</w:t>
            </w:r>
          </w:p>
        </w:tc>
        <w:tc>
          <w:tcPr>
            <w:tcW w:w="1559" w:type="dxa"/>
            <w:noWrap/>
            <w:vAlign w:val="top"/>
          </w:tcPr>
          <w:p w14:paraId="0ECDE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030,33</w:t>
            </w:r>
          </w:p>
        </w:tc>
        <w:tc>
          <w:tcPr>
            <w:tcW w:w="1559" w:type="dxa"/>
            <w:noWrap/>
            <w:vAlign w:val="top"/>
          </w:tcPr>
          <w:p w14:paraId="4A0C9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392,24</w:t>
            </w:r>
          </w:p>
        </w:tc>
        <w:tc>
          <w:tcPr>
            <w:tcW w:w="852" w:type="dxa"/>
            <w:noWrap/>
            <w:vAlign w:val="top"/>
          </w:tcPr>
          <w:p w14:paraId="1F165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12,6 </w:t>
            </w:r>
          </w:p>
        </w:tc>
      </w:tr>
      <w:tr w14:paraId="142579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noWrap/>
          </w:tcPr>
          <w:p w14:paraId="5060F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1 08</w:t>
            </w:r>
          </w:p>
        </w:tc>
        <w:tc>
          <w:tcPr>
            <w:tcW w:w="3260" w:type="dxa"/>
            <w:noWrap/>
          </w:tcPr>
          <w:p w14:paraId="5F7C8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59" w:type="dxa"/>
            <w:noWrap/>
            <w:vAlign w:val="top"/>
          </w:tcPr>
          <w:p w14:paraId="536C4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251,18</w:t>
            </w:r>
          </w:p>
        </w:tc>
        <w:tc>
          <w:tcPr>
            <w:tcW w:w="1559" w:type="dxa"/>
            <w:noWrap/>
            <w:vAlign w:val="top"/>
          </w:tcPr>
          <w:p w14:paraId="6773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087,07</w:t>
            </w:r>
          </w:p>
        </w:tc>
        <w:tc>
          <w:tcPr>
            <w:tcW w:w="1559" w:type="dxa"/>
            <w:noWrap/>
            <w:vAlign w:val="top"/>
          </w:tcPr>
          <w:p w14:paraId="6D95B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164,11</w:t>
            </w:r>
          </w:p>
        </w:tc>
        <w:tc>
          <w:tcPr>
            <w:tcW w:w="852" w:type="dxa"/>
            <w:noWrap/>
            <w:vAlign w:val="top"/>
          </w:tcPr>
          <w:p w14:paraId="4BC40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2,3 </w:t>
            </w:r>
          </w:p>
        </w:tc>
      </w:tr>
      <w:tr w14:paraId="7270C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noWrap/>
          </w:tcPr>
          <w:p w14:paraId="258AF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02FF8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налоговые доходы</w:t>
            </w:r>
          </w:p>
        </w:tc>
        <w:tc>
          <w:tcPr>
            <w:tcW w:w="1559" w:type="dxa"/>
            <w:noWrap/>
            <w:vAlign w:val="top"/>
          </w:tcPr>
          <w:p w14:paraId="5D308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166,3</w:t>
            </w:r>
          </w:p>
        </w:tc>
        <w:tc>
          <w:tcPr>
            <w:tcW w:w="1559" w:type="dxa"/>
            <w:noWrap/>
            <w:vAlign w:val="top"/>
          </w:tcPr>
          <w:p w14:paraId="159B5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154,66</w:t>
            </w:r>
          </w:p>
        </w:tc>
        <w:tc>
          <w:tcPr>
            <w:tcW w:w="1559" w:type="dxa"/>
            <w:noWrap/>
            <w:vAlign w:val="top"/>
          </w:tcPr>
          <w:p w14:paraId="2FECB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988,36</w:t>
            </w:r>
          </w:p>
        </w:tc>
        <w:tc>
          <w:tcPr>
            <w:tcW w:w="852" w:type="dxa"/>
            <w:noWrap/>
            <w:vAlign w:val="top"/>
          </w:tcPr>
          <w:p w14:paraId="3CC92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2,2 </w:t>
            </w:r>
          </w:p>
        </w:tc>
      </w:tr>
    </w:tbl>
    <w:p w14:paraId="38E945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442B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(1 01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прибыль, доходы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в сумме </w:t>
      </w:r>
      <w:r>
        <w:rPr>
          <w:rFonts w:hint="default" w:ascii="Times New Roman" w:hAnsi="Times New Roman" w:eastAsia="Times New Roman-Bold" w:cs="Times New Roman"/>
          <w:color w:val="000000"/>
          <w:sz w:val="28"/>
          <w:szCs w:val="28"/>
          <w:lang w:val="ru-RU" w:eastAsia="zh-CN"/>
        </w:rPr>
        <w:t xml:space="preserve">134 022,87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тыс. рублей по налогу на доходы физических лиц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18,9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годового плана. </w:t>
      </w:r>
    </w:p>
    <w:p w14:paraId="48DF4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(1 03)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товары (работы, услуги), акцизы по подакцизным товарам (продукции)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в сумме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4 028,65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21,9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годового плана.</w:t>
      </w:r>
    </w:p>
    <w:p w14:paraId="7198C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(1 05)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совокупный доход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в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8 225,51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к годовым назначениям.</w:t>
      </w:r>
    </w:p>
    <w:p w14:paraId="141D6A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(1 06) Налоги на имущество поступили в сумме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16 638,09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6,0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годового плана.</w:t>
      </w:r>
    </w:p>
    <w:p w14:paraId="6B85E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поступления налога на имущество физических лиц состави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hint="default" w:ascii="Times New Roman" w:hAnsi="Times New Roman" w:cs="Times New Roman"/>
          <w:sz w:val="28"/>
          <w:szCs w:val="28"/>
        </w:rPr>
        <w:t>3 162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>59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тыс. рублей (1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9,0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% от общей суммы поступлений по данному виду доходов); земельного налога – </w:t>
      </w:r>
      <w:r>
        <w:rPr>
          <w:rFonts w:hint="default" w:ascii="Times New Roman" w:hAnsi="Times New Roman" w:cs="Times New Roman"/>
          <w:sz w:val="28"/>
          <w:szCs w:val="28"/>
        </w:rPr>
        <w:t>13 475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,50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тыс. рублей </w:t>
      </w:r>
      <w:r>
        <w:rPr>
          <w:rFonts w:ascii="Times New Roman" w:hAnsi="Times New Roman" w:cs="Times New Roman"/>
          <w:color w:val="000000"/>
          <w:sz w:val="28"/>
          <w:szCs w:val="28"/>
        </w:rPr>
        <w:t>(81,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общей суммы поступлений по данному виду доходов).</w:t>
      </w:r>
    </w:p>
    <w:p w14:paraId="16EE9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(1 08)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Государственная пошлина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доход бюджета в отчетном периоде поступила в размере 7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251,18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20,0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уточненного годового плана. </w:t>
      </w:r>
    </w:p>
    <w:p w14:paraId="5DC70B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Весь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объем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поступлений по данному виду доходов в отчетном периоде составила государственная пошлина по делам, рассматриваемым в судах общей юрисдикции, мировыми судьями.</w:t>
      </w:r>
    </w:p>
    <w:p w14:paraId="6386FD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/>
          <w:color w:val="000000"/>
          <w:sz w:val="28"/>
          <w:szCs w:val="28"/>
        </w:rPr>
        <w:t xml:space="preserve">Неналоговые доходы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(подгруппы 1 11 – 1 17) поступили в сумме </w:t>
      </w:r>
      <w:r>
        <w:rPr>
          <w:rFonts w:ascii="Times New Roman" w:hAnsi="Times New Roman" w:cs="Times New Roman"/>
          <w:sz w:val="28"/>
          <w:szCs w:val="28"/>
        </w:rPr>
        <w:t xml:space="preserve">28 551,22 тыс. рублей, что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11 898,42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29,4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ru-RU"/>
        </w:rPr>
        <w:t>меньше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уровня поступлений за аналогичный отчетный период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40 449,64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рублей).</w:t>
      </w:r>
    </w:p>
    <w:p w14:paraId="63A018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исполнении в отчетном периоде неналоговых доходов по подгруппам представлена в таблице 4:</w:t>
      </w:r>
    </w:p>
    <w:p w14:paraId="2FCC605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4</w:t>
      </w:r>
    </w:p>
    <w:tbl>
      <w:tblPr>
        <w:tblStyle w:val="23"/>
        <w:tblW w:w="946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1275"/>
        <w:gridCol w:w="1418"/>
        <w:gridCol w:w="1417"/>
        <w:gridCol w:w="1418"/>
      </w:tblGrid>
      <w:tr w14:paraId="04BEE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noWrap/>
          </w:tcPr>
          <w:p w14:paraId="53377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п/группа</w:t>
            </w:r>
          </w:p>
          <w:p w14:paraId="53234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noWrap/>
          </w:tcPr>
          <w:p w14:paraId="65A9E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подгруппы</w:t>
            </w:r>
          </w:p>
          <w:p w14:paraId="4DCC5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noWrap/>
          </w:tcPr>
          <w:p w14:paraId="55C21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 1 квартал</w:t>
            </w:r>
          </w:p>
          <w:p w14:paraId="66F7F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1418" w:type="dxa"/>
            <w:vMerge w:val="restart"/>
            <w:noWrap/>
          </w:tcPr>
          <w:p w14:paraId="4B199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 1 квартал</w:t>
            </w:r>
          </w:p>
          <w:p w14:paraId="33CEE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2835" w:type="dxa"/>
            <w:gridSpan w:val="2"/>
            <w:noWrap/>
          </w:tcPr>
          <w:p w14:paraId="675A8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1 кварталу</w:t>
            </w:r>
          </w:p>
          <w:p w14:paraId="4778A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</w:t>
            </w:r>
          </w:p>
        </w:tc>
      </w:tr>
      <w:tr w14:paraId="33CEFC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noWrap/>
          </w:tcPr>
          <w:p w14:paraId="61DB2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 w:val="continue"/>
            <w:noWrap/>
          </w:tcPr>
          <w:p w14:paraId="5CEAF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noWrap/>
          </w:tcPr>
          <w:p w14:paraId="5AD3D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noWrap/>
          </w:tcPr>
          <w:p w14:paraId="0E572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A677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тыс.руб.</w:t>
            </w:r>
          </w:p>
          <w:p w14:paraId="7F41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5C7E7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% </w:t>
            </w:r>
          </w:p>
        </w:tc>
      </w:tr>
      <w:tr w14:paraId="345302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</w:tcPr>
          <w:p w14:paraId="02D25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</w:t>
            </w:r>
          </w:p>
          <w:p w14:paraId="2DE61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60BA8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noWrap/>
            <w:vAlign w:val="top"/>
          </w:tcPr>
          <w:p w14:paraId="7FDC3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279,82</w:t>
            </w:r>
          </w:p>
        </w:tc>
        <w:tc>
          <w:tcPr>
            <w:tcW w:w="1418" w:type="dxa"/>
            <w:noWrap/>
            <w:vAlign w:val="top"/>
          </w:tcPr>
          <w:p w14:paraId="2BC4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187,12</w:t>
            </w:r>
          </w:p>
        </w:tc>
        <w:tc>
          <w:tcPr>
            <w:tcW w:w="1417" w:type="dxa"/>
            <w:noWrap/>
            <w:vAlign w:val="top"/>
          </w:tcPr>
          <w:p w14:paraId="3E6F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907,3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</w:p>
        </w:tc>
        <w:tc>
          <w:tcPr>
            <w:tcW w:w="1418" w:type="dxa"/>
            <w:noWrap/>
            <w:vAlign w:val="top"/>
          </w:tcPr>
          <w:p w14:paraId="3B38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40,1 </w:t>
            </w:r>
          </w:p>
        </w:tc>
      </w:tr>
      <w:tr w14:paraId="6E615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</w:tcPr>
          <w:p w14:paraId="5C8DD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</w:t>
            </w:r>
          </w:p>
          <w:p w14:paraId="520EF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1C494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275" w:type="dxa"/>
            <w:noWrap/>
            <w:vAlign w:val="top"/>
          </w:tcPr>
          <w:p w14:paraId="1B079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  <w:noWrap/>
            <w:vAlign w:val="top"/>
          </w:tcPr>
          <w:p w14:paraId="52D9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519,3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</w:p>
        </w:tc>
        <w:tc>
          <w:tcPr>
            <w:tcW w:w="1417" w:type="dxa"/>
            <w:noWrap/>
            <w:vAlign w:val="top"/>
          </w:tcPr>
          <w:p w14:paraId="3D90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519,3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</w:p>
        </w:tc>
        <w:tc>
          <w:tcPr>
            <w:tcW w:w="1418" w:type="dxa"/>
            <w:noWrap/>
            <w:vAlign w:val="top"/>
          </w:tcPr>
          <w:p w14:paraId="0AF9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19C306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</w:tcPr>
          <w:p w14:paraId="232FD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</w:t>
            </w:r>
          </w:p>
          <w:p w14:paraId="40BEF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0F229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5" w:type="dxa"/>
            <w:noWrap/>
            <w:vAlign w:val="top"/>
          </w:tcPr>
          <w:p w14:paraId="55FF5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858,37</w:t>
            </w:r>
          </w:p>
        </w:tc>
        <w:tc>
          <w:tcPr>
            <w:tcW w:w="1418" w:type="dxa"/>
            <w:noWrap/>
            <w:vAlign w:val="top"/>
          </w:tcPr>
          <w:p w14:paraId="0C79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534,57</w:t>
            </w:r>
          </w:p>
        </w:tc>
        <w:tc>
          <w:tcPr>
            <w:tcW w:w="1417" w:type="dxa"/>
            <w:noWrap/>
            <w:vAlign w:val="top"/>
          </w:tcPr>
          <w:p w14:paraId="656E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323,8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</w:p>
        </w:tc>
        <w:tc>
          <w:tcPr>
            <w:tcW w:w="1418" w:type="dxa"/>
            <w:noWrap/>
            <w:vAlign w:val="top"/>
          </w:tcPr>
          <w:p w14:paraId="278A8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86,3 </w:t>
            </w:r>
          </w:p>
        </w:tc>
      </w:tr>
      <w:tr w14:paraId="5DAC74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</w:tcPr>
          <w:p w14:paraId="199D1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</w:t>
            </w:r>
          </w:p>
          <w:p w14:paraId="7B634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61080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noWrap/>
            <w:vAlign w:val="top"/>
          </w:tcPr>
          <w:p w14:paraId="6BAAC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12,49</w:t>
            </w:r>
          </w:p>
        </w:tc>
        <w:tc>
          <w:tcPr>
            <w:tcW w:w="1418" w:type="dxa"/>
            <w:noWrap/>
            <w:vAlign w:val="top"/>
          </w:tcPr>
          <w:p w14:paraId="21B7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455,53</w:t>
            </w:r>
          </w:p>
        </w:tc>
        <w:tc>
          <w:tcPr>
            <w:tcW w:w="1417" w:type="dxa"/>
            <w:noWrap/>
            <w:vAlign w:val="top"/>
          </w:tcPr>
          <w:p w14:paraId="5347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656,96</w:t>
            </w:r>
          </w:p>
        </w:tc>
        <w:tc>
          <w:tcPr>
            <w:tcW w:w="1418" w:type="dxa"/>
            <w:noWrap/>
            <w:vAlign w:val="top"/>
          </w:tcPr>
          <w:p w14:paraId="2BD75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25,7 </w:t>
            </w:r>
          </w:p>
        </w:tc>
      </w:tr>
      <w:tr w14:paraId="0EE11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/>
          </w:tcPr>
          <w:p w14:paraId="1BB49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</w:t>
            </w:r>
          </w:p>
          <w:p w14:paraId="38A6E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722CA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75" w:type="dxa"/>
            <w:noWrap/>
            <w:vAlign w:val="top"/>
          </w:tcPr>
          <w:p w14:paraId="6678E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867,65</w:t>
            </w:r>
          </w:p>
        </w:tc>
        <w:tc>
          <w:tcPr>
            <w:tcW w:w="1418" w:type="dxa"/>
            <w:noWrap/>
            <w:vAlign w:val="top"/>
          </w:tcPr>
          <w:p w14:paraId="68E12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222,01</w:t>
            </w:r>
          </w:p>
        </w:tc>
        <w:tc>
          <w:tcPr>
            <w:tcW w:w="1417" w:type="dxa"/>
            <w:noWrap/>
            <w:vAlign w:val="top"/>
          </w:tcPr>
          <w:p w14:paraId="70D07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-354,36</w:t>
            </w:r>
          </w:p>
        </w:tc>
        <w:tc>
          <w:tcPr>
            <w:tcW w:w="1418" w:type="dxa"/>
            <w:noWrap/>
            <w:vAlign w:val="top"/>
          </w:tcPr>
          <w:p w14:paraId="7D8BB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11,0 </w:t>
            </w:r>
          </w:p>
        </w:tc>
      </w:tr>
      <w:tr w14:paraId="60D1A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7" w:type="dxa"/>
            <w:noWrap/>
          </w:tcPr>
          <w:p w14:paraId="17ADC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</w:t>
            </w:r>
          </w:p>
          <w:p w14:paraId="5125D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354D4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5" w:type="dxa"/>
            <w:noWrap/>
            <w:vAlign w:val="top"/>
          </w:tcPr>
          <w:p w14:paraId="65FF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432,89</w:t>
            </w:r>
          </w:p>
        </w:tc>
        <w:tc>
          <w:tcPr>
            <w:tcW w:w="1418" w:type="dxa"/>
            <w:noWrap/>
            <w:vAlign w:val="top"/>
          </w:tcPr>
          <w:p w14:paraId="50D5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531,11</w:t>
            </w:r>
          </w:p>
        </w:tc>
        <w:tc>
          <w:tcPr>
            <w:tcW w:w="1417" w:type="dxa"/>
            <w:noWrap/>
            <w:vAlign w:val="top"/>
          </w:tcPr>
          <w:p w14:paraId="261C9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-98,22</w:t>
            </w:r>
          </w:p>
        </w:tc>
        <w:tc>
          <w:tcPr>
            <w:tcW w:w="1418" w:type="dxa"/>
            <w:noWrap/>
            <w:vAlign w:val="top"/>
          </w:tcPr>
          <w:p w14:paraId="5921D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6,4 </w:t>
            </w:r>
          </w:p>
        </w:tc>
      </w:tr>
      <w:tr w14:paraId="2463C5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817" w:type="dxa"/>
            <w:noWrap/>
          </w:tcPr>
          <w:p w14:paraId="0E940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noWrap/>
          </w:tcPr>
          <w:p w14:paraId="05A06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Всего неналоговые доходы</w:t>
            </w:r>
          </w:p>
        </w:tc>
        <w:tc>
          <w:tcPr>
            <w:tcW w:w="1275" w:type="dxa"/>
            <w:noWrap/>
            <w:vAlign w:val="top"/>
          </w:tcPr>
          <w:p w14:paraId="5EC9C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551,22</w:t>
            </w:r>
          </w:p>
        </w:tc>
        <w:tc>
          <w:tcPr>
            <w:tcW w:w="1418" w:type="dxa"/>
            <w:noWrap/>
            <w:vAlign w:val="top"/>
          </w:tcPr>
          <w:p w14:paraId="6FED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449,64</w:t>
            </w:r>
          </w:p>
        </w:tc>
        <w:tc>
          <w:tcPr>
            <w:tcW w:w="1417" w:type="dxa"/>
            <w:noWrap/>
            <w:vAlign w:val="top"/>
          </w:tcPr>
          <w:p w14:paraId="44B2D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898,42</w:t>
            </w:r>
          </w:p>
        </w:tc>
        <w:tc>
          <w:tcPr>
            <w:tcW w:w="1418" w:type="dxa"/>
            <w:noWrap/>
            <w:vAlign w:val="top"/>
          </w:tcPr>
          <w:p w14:paraId="2E99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29,4 </w:t>
            </w:r>
          </w:p>
        </w:tc>
      </w:tr>
    </w:tbl>
    <w:p w14:paraId="5AA36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(1 11)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>Доходы от использования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находящегося в государственной и муниципальной собственности, поступили в сумме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13 279,82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26,1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годового плана, на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8 907,3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тыс. рублей или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40,1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меньш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е поступлений аналогичного периода прошлого года (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22 187,12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рублей).</w:t>
      </w:r>
    </w:p>
    <w:p w14:paraId="4A3303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аибольший объем поступлений по данному виду доходов составили:</w:t>
      </w:r>
    </w:p>
    <w:p w14:paraId="20AD054F">
      <w:pPr>
        <w:numPr>
          <w:ilvl w:val="0"/>
          <w:numId w:val="2"/>
        </w:numPr>
        <w:spacing w:after="0" w:line="240" w:lineRule="auto"/>
        <w:ind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либо иной платы за передачу в возмездное пользование муниципального имущества в сумме 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0 036,40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06A3DC8F">
      <w:pPr>
        <w:numPr>
          <w:ilvl w:val="0"/>
          <w:numId w:val="2"/>
        </w:numPr>
        <w:spacing w:after="0" w:line="240" w:lineRule="auto"/>
        <w:ind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поступления от использования имущества, находящегося в муниципальной собственности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3 232,67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14:paraId="069A68D2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(1 13)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доходы от оказания платных услуг (работ) и компенсации затрат государства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поступили в сумме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2 858,37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более 6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5,1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годового плана, на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1 323,80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или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86,3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больше поступлений аналогичного периода прошлого года.</w:t>
      </w:r>
    </w:p>
    <w:p w14:paraId="01406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(1 14)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Доходы от продажи материальных и нематериальных активов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за 1 квартал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 исполнены в сумме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8 112,49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3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5,3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годового плана,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8"/>
          <w:szCs w:val="28"/>
          <w:u w:val="none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656,96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25,7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больш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е уровня исполнения за 1 квартал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года. </w:t>
      </w:r>
    </w:p>
    <w:p w14:paraId="572B8776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Из них наибольший объем поступлений составили:</w:t>
      </w:r>
    </w:p>
    <w:p w14:paraId="4711761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плата за увеличение площади земельных участков, находящихся в частной собственности, в результате перераспределения таких земель, государственная собственность  на которые не разграничена –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1 837,70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тыс. рублей;</w:t>
      </w:r>
    </w:p>
    <w:p w14:paraId="04897E54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доходы от продажи земельных участков, находящихся в государственной и муниципальной собственности в сумме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6 086,19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тыс. рублей.</w:t>
      </w:r>
    </w:p>
    <w:p w14:paraId="6D39CE5B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(1 16)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Штрафы, санкции, возмещение ущерба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исполнение составило </w:t>
      </w:r>
      <w:r>
        <w:rPr>
          <w:rFonts w:hint="default" w:ascii="Times New Roman" w:hAnsi="Times New Roman" w:eastAsia="Times New Roman-Bold" w:cs="Times New Roman"/>
          <w:color w:val="000000"/>
          <w:sz w:val="28"/>
          <w:szCs w:val="28"/>
          <w:lang w:val="ru-RU" w:eastAsia="zh-CN"/>
        </w:rPr>
        <w:t>2 867,65</w:t>
      </w:r>
      <w:r>
        <w:rPr>
          <w:rFonts w:ascii="Times New Roman" w:hAnsi="Times New Roman" w:eastAsia="Times New Roman-Bold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тыс. рублей или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55,6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годового плана, что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354,36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меньш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е поступлений за 1 квартал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года. Наибольший объем поступлений составили:</w:t>
      </w:r>
    </w:p>
    <w:p w14:paraId="11810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административные штрафы, установленные Кодексом Российской Федерации об административных правонарушениях 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304,40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B2ED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 –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 xml:space="preserve">306,52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14:paraId="41967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платежи 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уплачиваемые в целях возмещения вреда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2 079,32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49CFE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(1 17) Прочие неналоговые доходы составили </w:t>
      </w:r>
      <w:r>
        <w:rPr>
          <w:rFonts w:hint="default" w:ascii="Times New Roman" w:hAnsi="Times New Roman" w:eastAsia="Times New Roman-Bold" w:cs="Times New Roman"/>
          <w:color w:val="000000"/>
          <w:sz w:val="28"/>
          <w:szCs w:val="28"/>
          <w:lang w:val="ru-RU" w:eastAsia="zh-CN"/>
        </w:rPr>
        <w:t xml:space="preserve">1 432,89 </w:t>
      </w:r>
      <w:r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101,6</w:t>
      </w:r>
      <w:r>
        <w:rPr>
          <w:rFonts w:ascii="Times New Roman" w:hAnsi="Times New Roman" w:cs="Times New Roman"/>
          <w:sz w:val="28"/>
          <w:szCs w:val="28"/>
        </w:rPr>
        <w:t xml:space="preserve"> % от плановых назначений.</w:t>
      </w:r>
    </w:p>
    <w:p w14:paraId="4F467FF8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Безвозмездные поступления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отчетном периоде с учетом возврата остатков субсидий, субвенций и иных межбюджетных трансфертов, имеющих целевое назначение, прошлых лет («минус»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14 844,48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рублей) составили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441 418,61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18,2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 на год.</w:t>
      </w:r>
    </w:p>
    <w:p w14:paraId="1626612D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Доходы по видам поступлений представлены в таблице 5:</w:t>
      </w:r>
    </w:p>
    <w:p w14:paraId="4DE911F2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Таблица № 5</w:t>
      </w:r>
    </w:p>
    <w:tbl>
      <w:tblPr>
        <w:tblStyle w:val="3"/>
        <w:tblW w:w="937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0"/>
        <w:gridCol w:w="2314"/>
        <w:gridCol w:w="2775"/>
        <w:gridCol w:w="1050"/>
        <w:gridCol w:w="1103"/>
        <w:gridCol w:w="1059"/>
      </w:tblGrid>
      <w:tr w14:paraId="73BA5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29603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Группы/</w:t>
            </w:r>
          </w:p>
          <w:p w14:paraId="56710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подгруппы</w:t>
            </w:r>
          </w:p>
        </w:tc>
        <w:tc>
          <w:tcPr>
            <w:tcW w:w="23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5B51C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77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</w:tcPr>
          <w:p w14:paraId="4207EA4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 1 квартал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105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</w:tcPr>
          <w:p w14:paraId="1892CAB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 1 квартал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21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F8077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1 кварталу 2024 года</w:t>
            </w:r>
          </w:p>
        </w:tc>
      </w:tr>
      <w:tr w14:paraId="70C62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0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1518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10AB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</w:tcPr>
          <w:p w14:paraId="621C19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</w:tcPr>
          <w:p w14:paraId="4AF22A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top"/>
          </w:tcPr>
          <w:p w14:paraId="4278EF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тыс.руб.</w:t>
            </w:r>
          </w:p>
        </w:tc>
        <w:tc>
          <w:tcPr>
            <w:tcW w:w="105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top"/>
          </w:tcPr>
          <w:p w14:paraId="2F57F22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% </w:t>
            </w:r>
          </w:p>
        </w:tc>
      </w:tr>
      <w:tr w14:paraId="33E3B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6E74E5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2 02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28B40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Федерации, в т.ч.: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EFD27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Безвозмездные поступления от других бюджетов бюджетной системы Российской Федерации, в т.ч.: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8C2C4E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641,14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44A514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376,85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A343CA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-19,3 </w:t>
            </w:r>
          </w:p>
        </w:tc>
      </w:tr>
      <w:tr w14:paraId="39A29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7E769C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24FA9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7CAC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Дотации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7203C67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921,29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F2B777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774,44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5CA51C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-3,0 </w:t>
            </w:r>
          </w:p>
        </w:tc>
      </w:tr>
      <w:tr w14:paraId="63CC5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1D8E16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1C7ADA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8A556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Субсидии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17E3E9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578,63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C6B3DEF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664,14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4D1DFC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-0,4 </w:t>
            </w:r>
          </w:p>
        </w:tc>
      </w:tr>
      <w:tr w14:paraId="54F57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288C7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205E54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 xml:space="preserve">Субвенции 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8B55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Субвенции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8CD9984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013,4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5C55051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569,86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7B36C25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-9,7 </w:t>
            </w:r>
          </w:p>
        </w:tc>
      </w:tr>
      <w:tr w14:paraId="3BB1D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2B788C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6D2348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B9C7E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167F1DE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127,82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546DD8D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368,41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34789F3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-97,1 </w:t>
            </w:r>
          </w:p>
        </w:tc>
      </w:tr>
      <w:tr w14:paraId="72DF4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19D74E5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2 07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57435CA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3D76C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Прочие безвозмездные поступления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6DE0BF4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411,78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0B9B4A9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799,07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F29E914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201,8 </w:t>
            </w:r>
          </w:p>
        </w:tc>
      </w:tr>
      <w:tr w14:paraId="71442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2EE4D8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2 18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2DABEF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48E3E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A001E96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210,17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ABCF62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138,03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5F54B1E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74,2 </w:t>
            </w:r>
          </w:p>
        </w:tc>
      </w:tr>
      <w:tr w14:paraId="67C06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56A141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</w:tcPr>
          <w:p w14:paraId="78D386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ИТОГО БЕЗВОЗМЕЗДНЫЕ ПОСТУПЛЕНИЯ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E7B9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ИТОГО БЕЗВОЗМЕЗДНЫЕ ПОСТУПЛЕНИЯ</w:t>
            </w:r>
          </w:p>
        </w:tc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top"/>
          </w:tcPr>
          <w:p w14:paraId="7E940769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263,09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1085F8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313,95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AAB3E62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-18,3 </w:t>
            </w:r>
          </w:p>
        </w:tc>
      </w:tr>
      <w:tr w14:paraId="08DE3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</w:tcPr>
          <w:p w14:paraId="4399F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2 19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</w:tcPr>
          <w:p w14:paraId="585B5C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1244A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57A3C9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844,48</w:t>
            </w:r>
          </w:p>
        </w:tc>
        <w:tc>
          <w:tcPr>
            <w:tcW w:w="1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top"/>
          </w:tcPr>
          <w:p w14:paraId="725A072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499,44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top"/>
          </w:tcPr>
          <w:p w14:paraId="2BD84A7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169,9 </w:t>
            </w:r>
          </w:p>
        </w:tc>
      </w:tr>
      <w:tr w14:paraId="13E11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889A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3DEE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ВСЕГО БЕЗВОЗМЕЗДНЫЕ ПОСТУПЛЕНИЯ с учетом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72F6D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ВСЕГО БЕЗВОЗМЕЗДНЫЕ ПОСТУПЛЕНИЯ с учетом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top"/>
          </w:tcPr>
          <w:p w14:paraId="781DCA1D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418,61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119CFF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814,51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41C79E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-20,2 </w:t>
            </w:r>
          </w:p>
        </w:tc>
      </w:tr>
    </w:tbl>
    <w:p w14:paraId="448815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14:paraId="20B4AC79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 рамках безвозмездных поступлений от других бюджетов бюджетной системы Российской Федерации (2 02 00000) в бюджет поступили:</w:t>
      </w:r>
    </w:p>
    <w:p w14:paraId="21846F7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дотации (2 02 10000)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125 921,29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23,8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назначений);</w:t>
      </w:r>
    </w:p>
    <w:p w14:paraId="26B69550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субсидии (2 02 20000)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23 578,63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(4,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значений); </w:t>
      </w:r>
    </w:p>
    <w:p w14:paraId="6071C99E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субвенции (2 02 30000)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295 013,40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(23,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назначений);</w:t>
      </w:r>
    </w:p>
    <w:p w14:paraId="2A2D8028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иные межбюджетные трансферты (2 02 40000)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2 127,82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12,0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назначений). </w:t>
      </w:r>
    </w:p>
    <w:p w14:paraId="29F73AD8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1C003E3">
      <w:pPr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sz w:val="28"/>
          <w:szCs w:val="28"/>
        </w:rPr>
        <w:t>2.2. Расходы</w:t>
      </w:r>
    </w:p>
    <w:p w14:paraId="0ABCFC2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9F690C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На основании изменений в решение о бюджете и в бюджетную роспись уточненный план расходов бюджета на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 составил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3 992 551,22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тыс. рублей, увеличен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303 173,42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8,2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по сравнению с первоначально утвержденным.</w:t>
      </w:r>
    </w:p>
    <w:p w14:paraId="7AB558C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Расходы бюджета за 1 квартал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 исполнены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780 671,04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на уровне 19,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уточненного годового плана, с увеличением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30 958,43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к уровню исполнения расходов в аналогичном периоде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года.</w:t>
      </w:r>
    </w:p>
    <w:p w14:paraId="36695DA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Расходы бюджета были направлены на реализацию муниципальных программ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 xml:space="preserve"> сумме 771 153,30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(9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8,8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кассовых расходов) и непрограммных мероприятий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9 517,73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1,2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кассовых расходов).</w:t>
      </w:r>
    </w:p>
    <w:p w14:paraId="0812FB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Согласно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ведомственной структуре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расходов бюджета ассигнования на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 утверждены 12 главным распорядителям средств бюджета.</w:t>
      </w:r>
    </w:p>
    <w:p w14:paraId="67C6A506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Информация об исполнении расходов главными распорядителями бюджетных средств представлена в таблице 6.</w:t>
      </w:r>
    </w:p>
    <w:p w14:paraId="0FC15D4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A1755F9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8DB7AA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8BD83FA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B754649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Таблица № 6</w:t>
      </w:r>
    </w:p>
    <w:tbl>
      <w:tblPr>
        <w:tblStyle w:val="3"/>
        <w:tblpPr w:leftFromText="180" w:rightFromText="180" w:vertAnchor="text" w:horzAnchor="page" w:tblpX="1797" w:tblpY="237"/>
        <w:tblOverlap w:val="never"/>
        <w:tblW w:w="96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835"/>
        <w:gridCol w:w="923"/>
        <w:gridCol w:w="1345"/>
        <w:gridCol w:w="1276"/>
        <w:gridCol w:w="709"/>
        <w:gridCol w:w="992"/>
        <w:gridCol w:w="992"/>
      </w:tblGrid>
      <w:tr w14:paraId="270C2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294D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E7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A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код ведомства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E3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Утверждено (с уточнением) на 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год, тыс.руб.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21D2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Исполнение за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квартал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года, тыс.руб.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8FAD2C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EC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Доля в общей сумме расходов (%)</w:t>
            </w:r>
          </w:p>
        </w:tc>
      </w:tr>
      <w:tr w14:paraId="36894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3A5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CE4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296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FE5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326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3EEFC7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12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2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по исполнению</w:t>
            </w:r>
          </w:p>
        </w:tc>
      </w:tr>
      <w:tr w14:paraId="086DF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3D6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15C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A11:I17"/>
            <w:bookmarkEnd w:id="0"/>
            <w:bookmarkStart w:id="1" w:name="RANGE!A11"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Финансовое управление администрации Богородского муниципального округа Нижегородской области</w:t>
            </w:r>
            <w:bookmarkEnd w:id="1"/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8D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3DD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103 010,24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36C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8 156,28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F1656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7,9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CF1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2,6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8AB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 </w:t>
            </w:r>
          </w:p>
        </w:tc>
      </w:tr>
      <w:tr w14:paraId="2B61E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AD7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49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по физической культуре и спорту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39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B20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149 783,22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66A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34 890,95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FE48D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23,3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C4A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3,8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62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4,5 </w:t>
            </w:r>
          </w:p>
        </w:tc>
      </w:tr>
      <w:tr w14:paraId="30CA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0BD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46F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образования и молодежной политики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6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DEE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930 297,40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8E1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450 568,89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24175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23,3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22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48,3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156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57,7 </w:t>
            </w:r>
          </w:p>
        </w:tc>
      </w:tr>
      <w:tr w14:paraId="1F2D2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23C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76A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культуры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42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7EA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275 056,99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79F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63 379,90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1C60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23,0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364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6,9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8B4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8,1 </w:t>
            </w:r>
          </w:p>
        </w:tc>
      </w:tr>
      <w:tr w14:paraId="451A8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E97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C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Совет депутатов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D5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BDD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4 686,55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7A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1 115,10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F749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23,8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865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18C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0,1 </w:t>
            </w:r>
          </w:p>
        </w:tc>
      </w:tr>
      <w:tr w14:paraId="1AF5C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7F6C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1D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сельского хозяйства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05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3B0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13 235,29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5E5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1 974,41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E8AC8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14,9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444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B92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0,3 </w:t>
            </w:r>
          </w:p>
        </w:tc>
      </w:tr>
      <w:tr w14:paraId="243C4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CAA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17D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капитального строительства и градостроительной деятельности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82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008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81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385 296,69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84B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72 265,99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7E561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18,8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541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9,7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38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9,3 </w:t>
            </w:r>
          </w:p>
        </w:tc>
      </w:tr>
      <w:tr w14:paraId="4630A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D7C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7D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Комитет имущественных и земельных отношений, учета и распределения жилья 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98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009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C04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101 047,42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288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17 235,71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2A2EB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17,1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045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2,5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D6A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2,2 </w:t>
            </w:r>
          </w:p>
        </w:tc>
      </w:tr>
      <w:tr w14:paraId="570C7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06B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E69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Администрация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D1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010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108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396 453,31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EEA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52 347,58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31292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13,2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F65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9,9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301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6,7 </w:t>
            </w:r>
          </w:p>
        </w:tc>
      </w:tr>
      <w:tr w14:paraId="7A28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68787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4D2D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Управление благоустройства и дорожной деятельности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265D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011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FDC9E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597 550,07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179FE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75 861,18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EB05D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12,7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383BD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15,0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6A95C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9,7 </w:t>
            </w:r>
          </w:p>
        </w:tc>
      </w:tr>
      <w:tr w14:paraId="771A6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40446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4465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Контрольно-счетная комиссия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CAFA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013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99B3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3 376,19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8BAE6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671,48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9FAC2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19,9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C1648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A52DB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0,1 </w:t>
            </w:r>
          </w:p>
        </w:tc>
      </w:tr>
      <w:tr w14:paraId="4FFB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CC6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BDCB5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жилищно-коммунального хозяйства и экологии администрации Богородского муниципального округа Нижегородской области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CE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>014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173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32 757,85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F5D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2 203,57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7EE38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6,7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E07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CF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0,3 </w:t>
            </w:r>
          </w:p>
        </w:tc>
      </w:tr>
      <w:tr w14:paraId="362A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E9A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2830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4E1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382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CF5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992 551,22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F1B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780 671,04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C7155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19,6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FAA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100,0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109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100,0 </w:t>
            </w:r>
          </w:p>
        </w:tc>
      </w:tr>
    </w:tbl>
    <w:p w14:paraId="56A7EAB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786ADF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Анализ исполнения расходов бюджета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в разрезе разделов классификации расходов бюджетов показал следующее.</w:t>
      </w:r>
    </w:p>
    <w:p w14:paraId="5BA81F2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Наибольшую долю в общем объеме расходов бюджета за 1 квартал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года составили расходы по разделам: 01 00 «Общегосударственные вопросы» -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hint="default" w:ascii="Times New Roman" w:hAnsi="Times New Roman"/>
          <w:sz w:val="28"/>
          <w:szCs w:val="28"/>
          <w:lang w:val="ru-RU"/>
        </w:rPr>
        <w:t>6 223,80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 (5,9 %),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04 00 «Национальная экономика» - 50 208,75 тыс. рублей (6,4 %),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05 00 «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>Жилищно-коммунальное хозяйство» - 1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05 050,87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 xml:space="preserve"> тыс. рублей (1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3,5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 xml:space="preserve"> %), 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8 00 «Образование» - 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463 605,01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 рублей (59,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%),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08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00 «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Культура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» - 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>4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9 305,59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%). </w:t>
      </w:r>
    </w:p>
    <w:p w14:paraId="21BD18F7">
      <w:pPr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</w:p>
    <w:p w14:paraId="170FF51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 xml:space="preserve">2.3. Дорожный фонд </w:t>
      </w:r>
    </w:p>
    <w:p w14:paraId="000BB26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white"/>
        </w:rPr>
        <w:t>Поступ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ления в дорожный фонд за 1 квартал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года составили в сумме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4 028,65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21,9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% от годовых прогнозных назначений, из них:</w:t>
      </w:r>
    </w:p>
    <w:p w14:paraId="7F3F2DF4">
      <w:pPr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Таблица № 7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(тыс. рублей)</w:t>
      </w:r>
    </w:p>
    <w:tbl>
      <w:tblPr>
        <w:tblStyle w:val="2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62109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92" w:type="dxa"/>
            <w:noWrap/>
          </w:tcPr>
          <w:p w14:paraId="7F9DE3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Наименование</w:t>
            </w:r>
          </w:p>
          <w:p w14:paraId="6AD9A0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93" w:type="dxa"/>
            <w:noWrap/>
          </w:tcPr>
          <w:p w14:paraId="61F7E7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Уточненный показатель на год</w:t>
            </w:r>
          </w:p>
        </w:tc>
        <w:tc>
          <w:tcPr>
            <w:tcW w:w="2393" w:type="dxa"/>
            <w:noWrap/>
          </w:tcPr>
          <w:p w14:paraId="7F0FD3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Исполнено на 01.04.202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6</w:t>
            </w:r>
          </w:p>
          <w:p w14:paraId="2B1742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393" w:type="dxa"/>
            <w:noWrap/>
          </w:tcPr>
          <w:p w14:paraId="543F21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% исполнения к году</w:t>
            </w:r>
          </w:p>
          <w:p w14:paraId="1B85E4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</w:tr>
      <w:tr w14:paraId="1089B1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noWrap/>
          </w:tcPr>
          <w:p w14:paraId="7B7909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Остатки на начало года</w:t>
            </w:r>
          </w:p>
        </w:tc>
        <w:tc>
          <w:tcPr>
            <w:tcW w:w="2393" w:type="dxa"/>
            <w:noWrap/>
          </w:tcPr>
          <w:p w14:paraId="2285747E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6 268,66</w:t>
            </w:r>
          </w:p>
        </w:tc>
        <w:tc>
          <w:tcPr>
            <w:tcW w:w="2393" w:type="dxa"/>
            <w:noWrap/>
          </w:tcPr>
          <w:p w14:paraId="5A91021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6 268,06</w:t>
            </w:r>
          </w:p>
        </w:tc>
        <w:tc>
          <w:tcPr>
            <w:tcW w:w="2393" w:type="dxa"/>
            <w:noWrap/>
          </w:tcPr>
          <w:p w14:paraId="059A5C3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100,0</w:t>
            </w:r>
          </w:p>
        </w:tc>
      </w:tr>
      <w:tr w14:paraId="016F4B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noWrap/>
          </w:tcPr>
          <w:p w14:paraId="5D218D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Налоговые и неналоговые доходы</w:t>
            </w:r>
          </w:p>
        </w:tc>
        <w:tc>
          <w:tcPr>
            <w:tcW w:w="2393" w:type="dxa"/>
            <w:noWrap/>
          </w:tcPr>
          <w:p w14:paraId="4B8C23CE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64 033,20</w:t>
            </w:r>
          </w:p>
        </w:tc>
        <w:tc>
          <w:tcPr>
            <w:tcW w:w="2393" w:type="dxa"/>
            <w:noWrap/>
          </w:tcPr>
          <w:p w14:paraId="079957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14 028,65</w:t>
            </w:r>
          </w:p>
        </w:tc>
        <w:tc>
          <w:tcPr>
            <w:tcW w:w="2393" w:type="dxa"/>
            <w:noWrap/>
          </w:tcPr>
          <w:p w14:paraId="5089579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1,9</w:t>
            </w:r>
          </w:p>
        </w:tc>
      </w:tr>
      <w:tr w14:paraId="376EAA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noWrap/>
          </w:tcPr>
          <w:p w14:paraId="30D1F8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Поступления из областного бюджета</w:t>
            </w:r>
          </w:p>
        </w:tc>
        <w:tc>
          <w:tcPr>
            <w:tcW w:w="2393" w:type="dxa"/>
            <w:noWrap/>
          </w:tcPr>
          <w:p w14:paraId="1A2568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30 000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,00</w:t>
            </w:r>
          </w:p>
        </w:tc>
        <w:tc>
          <w:tcPr>
            <w:tcW w:w="2393" w:type="dxa"/>
            <w:noWrap/>
          </w:tcPr>
          <w:p w14:paraId="0910E8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2393" w:type="dxa"/>
            <w:noWrap/>
          </w:tcPr>
          <w:p w14:paraId="6BA31A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-</w:t>
            </w:r>
          </w:p>
        </w:tc>
      </w:tr>
      <w:tr w14:paraId="0C61C0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2392" w:type="dxa"/>
            <w:noWrap/>
          </w:tcPr>
          <w:p w14:paraId="497C637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Итого</w:t>
            </w:r>
          </w:p>
        </w:tc>
        <w:tc>
          <w:tcPr>
            <w:tcW w:w="2393" w:type="dxa"/>
            <w:noWrap/>
          </w:tcPr>
          <w:p w14:paraId="057A534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100 301,86</w:t>
            </w:r>
          </w:p>
        </w:tc>
        <w:tc>
          <w:tcPr>
            <w:tcW w:w="2393" w:type="dxa"/>
            <w:noWrap/>
          </w:tcPr>
          <w:p w14:paraId="13201821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1 273,51</w:t>
            </w:r>
          </w:p>
        </w:tc>
        <w:tc>
          <w:tcPr>
            <w:tcW w:w="2393" w:type="dxa"/>
            <w:noWrap/>
          </w:tcPr>
          <w:p w14:paraId="15C840E4">
            <w:pPr>
              <w:spacing w:line="240" w:lineRule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21,2</w:t>
            </w:r>
          </w:p>
        </w:tc>
      </w:tr>
    </w:tbl>
    <w:p w14:paraId="7DE6DFC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Расходы дорожного фонда ис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полнены за 1 квартал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года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41 263,98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 рублей или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41,1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плана.</w:t>
      </w:r>
    </w:p>
    <w:p w14:paraId="29FB97D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Исполнение дорожного фонда осуществлялось в рамках подпрограммы «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Строительство, ремонт и содержание автомобильных дорог общего пользования местного значения Богородского муниципального округа Нижегородской области и искусственных сооружений на них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» муниципальной программы «Развитие дорожного хозяйства Богородского муниципального округа Нижегородской области». </w:t>
      </w:r>
    </w:p>
    <w:p w14:paraId="5F4379E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28B939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2.4. Бюджетные инвестиции в объекты капитального строительства</w:t>
      </w:r>
    </w:p>
    <w:p w14:paraId="36211A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4510DA4B">
      <w:pPr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Осуществление бюджетных инвестиций в объекты капитального строительства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году запланировано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67 575,60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6D2EAE7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>По состоянию на 01.0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>.202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кассовый расход составил 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>55 043,60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тыс. рублей, в том числе на:</w:t>
      </w:r>
    </w:p>
    <w:p w14:paraId="0F863B7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- 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  <w:lang w:val="ru-RU"/>
        </w:rPr>
        <w:t>напорный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 xml:space="preserve"> канализационный коллектор от с.Каменки Богородского муниципального округа до пос.Кудьма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–  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 xml:space="preserve">7 888,5  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>тыс. рублей;</w:t>
      </w:r>
    </w:p>
    <w:p w14:paraId="5473248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- строительство 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  <w:lang w:val="ru-RU"/>
        </w:rPr>
        <w:t>автодороги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 xml:space="preserve"> общего пользования от д.Швариха до с.Подвязье Богородского муниципального округа Нижегородкой области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– 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 xml:space="preserve">1 365,2 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тыс. рублей;</w:t>
      </w:r>
    </w:p>
    <w:p w14:paraId="021DE1B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>- проект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 xml:space="preserve"> развития централизованной системы водоотведения г.Богородска и Богородского муниципального района Нижегородской области, 1 этап - реконструкция отчисных сооружений г.Богородска производительностью 15000м3/сут.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– 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lang w:val="ru-RU"/>
        </w:rPr>
        <w:t>45 789,9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</w:rPr>
        <w:t xml:space="preserve"> тыс. рублей.</w:t>
      </w:r>
    </w:p>
    <w:p w14:paraId="5D504478">
      <w:pPr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229050D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3. Источники финансирования дефицита бюджета</w:t>
      </w:r>
    </w:p>
    <w:p w14:paraId="25238D72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Источники финансирования дефицита бюджета на 01.04.202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исполнены в сумме фактического профицита бюджета –</w:t>
      </w:r>
      <w:r>
        <w:rPr>
          <w:rFonts w:hint="default" w:ascii="Times New Roman" w:hAnsi="Times New Roman" w:eastAsia="Times New Roman,Bold" w:cs="Times New Roman"/>
          <w:b w:val="0"/>
          <w:bCs/>
          <w:i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</w:rPr>
        <w:t>130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</w:rPr>
        <w:t>534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ru-RU"/>
        </w:rPr>
        <w:t>,90</w:t>
      </w:r>
      <w:r>
        <w:rPr>
          <w:rFonts w:hint="default" w:ascii="Times New Roman" w:hAnsi="Times New Roman" w:eastAsia="Times New Roman-Bold" w:cs="Times New Roman"/>
          <w:b w:val="0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 рублей (при плановом дефиците в сумме</w:t>
      </w:r>
      <w:r>
        <w:rPr>
          <w:rFonts w:hint="default" w:ascii="Times New Roman" w:hAnsi="Times New Roman" w:eastAsia="Times New Roman,Bold" w:cs="Times New Roman"/>
          <w:b w:val="0"/>
          <w:bCs/>
          <w:i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en-US"/>
        </w:rPr>
        <w:t>252 205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en-US"/>
        </w:rPr>
        <w:t>22</w:t>
      </w:r>
      <w:r>
        <w:rPr>
          <w:rFonts w:hint="default" w:ascii="Times New Roman" w:hAnsi="Times New Roman" w:eastAsia="Times New Roman-Bold" w:cs="Times New Roman"/>
          <w:b w:val="0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Times New Roman,Bold" w:cs="Times New Roman"/>
          <w:b w:val="0"/>
          <w:bCs/>
          <w:iCs/>
          <w:color w:val="000000"/>
          <w:sz w:val="28"/>
          <w:szCs w:val="28"/>
        </w:rPr>
        <w:t>тыс. р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ублей).</w:t>
      </w:r>
    </w:p>
    <w:p w14:paraId="04A12F30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00B9B026">
      <w:pPr>
        <w:pStyle w:val="18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Муниципальный долг</w:t>
      </w:r>
    </w:p>
    <w:p w14:paraId="50CEC413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7AF6E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Верхний предел муниципального внутреннего долга Богородского муниципального округа Нижегородской области установлен на 1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60 000</w:t>
      </w:r>
      <w:r>
        <w:rPr>
          <w:rFonts w:ascii="Times New Roman" w:hAnsi="Times New Roman" w:cs="Times New Roman"/>
          <w:sz w:val="28"/>
          <w:szCs w:val="28"/>
        </w:rPr>
        <w:t>,00 тыс. рублей, в том числе верхний предел долга по муниципальным гарантиям в размере 0,00 тыс. рублей.</w:t>
      </w:r>
    </w:p>
    <w:p w14:paraId="27E1A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Ограничения, установленные статьей 92.1 Бюджетного кодекса РФ, соблюдены.</w:t>
      </w:r>
    </w:p>
    <w:p w14:paraId="40E0B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Заемные средства (кредиты коммерческих банков, бюджетные кредиты) в 1 квартале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не привлекались.</w:t>
      </w:r>
    </w:p>
    <w:p w14:paraId="24971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1F8C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Нарушений и несоответствий требованиям бюджетного законодательства Российской Федерации при исполнении бюджета Богородского муниципального округа Нижегородской области за 1 квартал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не установлено.</w:t>
      </w:r>
    </w:p>
    <w:p w14:paraId="47BDA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FBC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3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контрольно-счетной</w:t>
      </w:r>
    </w:p>
    <w:p w14:paraId="4C575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Богородского </w:t>
      </w:r>
    </w:p>
    <w:p w14:paraId="70CFB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14:paraId="5D0A4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Н.В.Гуськова</w:t>
      </w:r>
    </w:p>
    <w:p w14:paraId="0EC9C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5B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D1CEC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29.05.202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bookmarkStart w:id="2" w:name="_GoBack"/>
      <w:bookmarkEnd w:id="2"/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,Bold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imes New Roman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499670"/>
    </w:sdtPr>
    <w:sdtContent>
      <w:p w14:paraId="4AD08987">
        <w:pPr>
          <w:pStyle w:val="18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5BDB536C">
    <w:pPr>
      <w:pStyle w:val="18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194B1B"/>
    <w:multiLevelType w:val="singleLevel"/>
    <w:tmpl w:val="ED194B1B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11330C12"/>
    <w:multiLevelType w:val="multilevel"/>
    <w:tmpl w:val="11330C12"/>
    <w:lvl w:ilvl="0" w:tentative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E1D8987"/>
    <w:multiLevelType w:val="singleLevel"/>
    <w:tmpl w:val="7E1D8987"/>
    <w:lvl w:ilvl="0" w:tentative="0">
      <w:start w:val="1"/>
      <w:numFmt w:val="decimal"/>
      <w:suff w:val="space"/>
      <w:lvlText w:val="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EF"/>
    <w:rsid w:val="0007130F"/>
    <w:rsid w:val="001149ED"/>
    <w:rsid w:val="001B61C2"/>
    <w:rsid w:val="001E2625"/>
    <w:rsid w:val="001E2F98"/>
    <w:rsid w:val="00265243"/>
    <w:rsid w:val="002716F8"/>
    <w:rsid w:val="002A4A2D"/>
    <w:rsid w:val="002E17A1"/>
    <w:rsid w:val="0035133A"/>
    <w:rsid w:val="003B0767"/>
    <w:rsid w:val="0044519D"/>
    <w:rsid w:val="004C14BE"/>
    <w:rsid w:val="004D5194"/>
    <w:rsid w:val="004F378B"/>
    <w:rsid w:val="004F6D79"/>
    <w:rsid w:val="00523685"/>
    <w:rsid w:val="005272A7"/>
    <w:rsid w:val="00551EDC"/>
    <w:rsid w:val="00580597"/>
    <w:rsid w:val="005F49C5"/>
    <w:rsid w:val="0060726B"/>
    <w:rsid w:val="006868E8"/>
    <w:rsid w:val="00793D81"/>
    <w:rsid w:val="0086277A"/>
    <w:rsid w:val="00870964"/>
    <w:rsid w:val="00877CCC"/>
    <w:rsid w:val="008F5392"/>
    <w:rsid w:val="00975534"/>
    <w:rsid w:val="009764D5"/>
    <w:rsid w:val="009D5E7A"/>
    <w:rsid w:val="00A060AE"/>
    <w:rsid w:val="00B00A10"/>
    <w:rsid w:val="00B04FE5"/>
    <w:rsid w:val="00B32746"/>
    <w:rsid w:val="00CA1015"/>
    <w:rsid w:val="00CA6BA2"/>
    <w:rsid w:val="00CD75E9"/>
    <w:rsid w:val="00CF3953"/>
    <w:rsid w:val="00DB496F"/>
    <w:rsid w:val="00DB6092"/>
    <w:rsid w:val="00E317EB"/>
    <w:rsid w:val="00E43D6C"/>
    <w:rsid w:val="00E746B8"/>
    <w:rsid w:val="00F02269"/>
    <w:rsid w:val="00F039EF"/>
    <w:rsid w:val="00FD43A4"/>
    <w:rsid w:val="00FD7324"/>
    <w:rsid w:val="00FE7306"/>
    <w:rsid w:val="059A49D0"/>
    <w:rsid w:val="06115712"/>
    <w:rsid w:val="11BE502B"/>
    <w:rsid w:val="12E5697F"/>
    <w:rsid w:val="16EE7267"/>
    <w:rsid w:val="1A95574F"/>
    <w:rsid w:val="1AF169C2"/>
    <w:rsid w:val="1D201555"/>
    <w:rsid w:val="1D690A4F"/>
    <w:rsid w:val="202F76B2"/>
    <w:rsid w:val="20CC3DB9"/>
    <w:rsid w:val="249D182A"/>
    <w:rsid w:val="24E249D5"/>
    <w:rsid w:val="31CA4C93"/>
    <w:rsid w:val="336246D8"/>
    <w:rsid w:val="365C313C"/>
    <w:rsid w:val="39FE5A5B"/>
    <w:rsid w:val="3EB91CF7"/>
    <w:rsid w:val="41FC471C"/>
    <w:rsid w:val="426062F6"/>
    <w:rsid w:val="47C1610A"/>
    <w:rsid w:val="4D0E0210"/>
    <w:rsid w:val="4D17346F"/>
    <w:rsid w:val="4D180CB1"/>
    <w:rsid w:val="504C5451"/>
    <w:rsid w:val="52044E1D"/>
    <w:rsid w:val="5571393E"/>
    <w:rsid w:val="58906F64"/>
    <w:rsid w:val="59782AE5"/>
    <w:rsid w:val="5DE73078"/>
    <w:rsid w:val="5FF7624B"/>
    <w:rsid w:val="604A7B30"/>
    <w:rsid w:val="62CB3DF2"/>
    <w:rsid w:val="64C50FBD"/>
    <w:rsid w:val="6BC04292"/>
    <w:rsid w:val="6BFA5AB3"/>
    <w:rsid w:val="725F15B0"/>
    <w:rsid w:val="73320D65"/>
    <w:rsid w:val="74027D55"/>
    <w:rsid w:val="780B45E9"/>
    <w:rsid w:val="79F26B9A"/>
    <w:rsid w:val="7C2969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8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endnote text"/>
    <w:basedOn w:val="1"/>
    <w:link w:val="178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9">
    <w:name w:val="footnote text"/>
    <w:basedOn w:val="1"/>
    <w:link w:val="177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0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3">
    <w:name w:val="toc 1"/>
    <w:basedOn w:val="1"/>
    <w:next w:val="1"/>
    <w:unhideWhenUsed/>
    <w:qFormat/>
    <w:uiPriority w:val="39"/>
    <w:pPr>
      <w:spacing w:after="57"/>
    </w:pPr>
  </w:style>
  <w:style w:type="paragraph" w:styleId="1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5">
    <w:name w:val="table of figures"/>
    <w:basedOn w:val="1"/>
    <w:next w:val="1"/>
    <w:unhideWhenUsed/>
    <w:qFormat/>
    <w:uiPriority w:val="99"/>
    <w:pPr>
      <w:spacing w:after="0"/>
    </w:pPr>
  </w:style>
  <w:style w:type="paragraph" w:styleId="16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7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9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0">
    <w:name w:val="Title"/>
    <w:basedOn w:val="1"/>
    <w:next w:val="1"/>
    <w:link w:val="43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Normal (Web)"/>
    <w:basedOn w:val="1"/>
    <w:link w:val="185"/>
    <w:qFormat/>
    <w:uiPriority w:val="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2">
    <w:name w:val="Subtitle"/>
    <w:basedOn w:val="1"/>
    <w:next w:val="1"/>
    <w:link w:val="44"/>
    <w:qFormat/>
    <w:uiPriority w:val="11"/>
    <w:pPr>
      <w:spacing w:before="200"/>
    </w:pPr>
    <w:rPr>
      <w:sz w:val="24"/>
      <w:szCs w:val="24"/>
    </w:rPr>
  </w:style>
  <w:style w:type="table" w:styleId="23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Heading 1"/>
    <w:basedOn w:val="1"/>
    <w:next w:val="1"/>
    <w:link w:val="25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25">
    <w:name w:val="Heading 1 Char"/>
    <w:basedOn w:val="2"/>
    <w:link w:val="24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26">
    <w:name w:val="Heading 2"/>
    <w:basedOn w:val="1"/>
    <w:next w:val="1"/>
    <w:link w:val="27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27">
    <w:name w:val="Heading 2 Char"/>
    <w:basedOn w:val="2"/>
    <w:link w:val="26"/>
    <w:qFormat/>
    <w:uiPriority w:val="9"/>
    <w:rPr>
      <w:rFonts w:ascii="Arial" w:hAnsi="Arial" w:eastAsia="Arial" w:cs="Arial"/>
      <w:sz w:val="34"/>
    </w:rPr>
  </w:style>
  <w:style w:type="paragraph" w:customStyle="1" w:styleId="28">
    <w:name w:val="Heading 3"/>
    <w:basedOn w:val="1"/>
    <w:next w:val="1"/>
    <w:link w:val="29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29">
    <w:name w:val="Heading 3 Char"/>
    <w:basedOn w:val="2"/>
    <w:link w:val="28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0">
    <w:name w:val="Heading 4"/>
    <w:basedOn w:val="1"/>
    <w:next w:val="1"/>
    <w:link w:val="31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1">
    <w:name w:val="Heading 4 Char"/>
    <w:basedOn w:val="2"/>
    <w:link w:val="30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2">
    <w:name w:val="Heading 5"/>
    <w:basedOn w:val="1"/>
    <w:next w:val="1"/>
    <w:link w:val="33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3">
    <w:name w:val="Heading 5 Char"/>
    <w:basedOn w:val="2"/>
    <w:link w:val="32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4">
    <w:name w:val="Heading 6"/>
    <w:basedOn w:val="1"/>
    <w:next w:val="1"/>
    <w:link w:val="35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35">
    <w:name w:val="Heading 6 Char"/>
    <w:basedOn w:val="2"/>
    <w:link w:val="34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36">
    <w:name w:val="Heading 7"/>
    <w:basedOn w:val="1"/>
    <w:next w:val="1"/>
    <w:link w:val="37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37">
    <w:name w:val="Heading 7 Char"/>
    <w:basedOn w:val="2"/>
    <w:link w:val="36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38">
    <w:name w:val="Heading 8"/>
    <w:basedOn w:val="1"/>
    <w:next w:val="1"/>
    <w:link w:val="39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39">
    <w:name w:val="Heading 8 Char"/>
    <w:basedOn w:val="2"/>
    <w:link w:val="38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0">
    <w:name w:val="Heading 9"/>
    <w:basedOn w:val="1"/>
    <w:next w:val="1"/>
    <w:link w:val="41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1">
    <w:name w:val="Heading 9 Char"/>
    <w:basedOn w:val="2"/>
    <w:link w:val="4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2">
    <w:name w:val="No Spacing"/>
    <w:qFormat/>
    <w:uiPriority w:val="1"/>
    <w:rPr>
      <w:rFonts w:asciiTheme="minorHAnsi" w:hAnsiTheme="minorHAnsi" w:eastAsiaTheme="minorEastAsia" w:cstheme="minorBidi"/>
      <w:lang w:val="ru-RU" w:eastAsia="ru-RU" w:bidi="ar-SA"/>
    </w:rPr>
  </w:style>
  <w:style w:type="character" w:customStyle="1" w:styleId="43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4">
    <w:name w:val="Подзаголовок Знак"/>
    <w:basedOn w:val="2"/>
    <w:link w:val="22"/>
    <w:qFormat/>
    <w:uiPriority w:val="11"/>
    <w:rPr>
      <w:sz w:val="24"/>
      <w:szCs w:val="24"/>
    </w:rPr>
  </w:style>
  <w:style w:type="paragraph" w:styleId="45">
    <w:name w:val="Quote"/>
    <w:basedOn w:val="1"/>
    <w:next w:val="1"/>
    <w:link w:val="46"/>
    <w:qFormat/>
    <w:uiPriority w:val="29"/>
    <w:pPr>
      <w:ind w:left="720" w:right="720"/>
    </w:pPr>
    <w:rPr>
      <w:i/>
    </w:rPr>
  </w:style>
  <w:style w:type="character" w:customStyle="1" w:styleId="46">
    <w:name w:val="Цитата 2 Знак"/>
    <w:link w:val="45"/>
    <w:qFormat/>
    <w:uiPriority w:val="29"/>
    <w:rPr>
      <w:i/>
    </w:rPr>
  </w:style>
  <w:style w:type="paragraph" w:styleId="47">
    <w:name w:val="Intense Quote"/>
    <w:basedOn w:val="1"/>
    <w:next w:val="1"/>
    <w:link w:val="4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8">
    <w:name w:val="Выделенная цитата Знак"/>
    <w:link w:val="47"/>
    <w:qFormat/>
    <w:uiPriority w:val="30"/>
    <w:rPr>
      <w:i/>
    </w:rPr>
  </w:style>
  <w:style w:type="character" w:customStyle="1" w:styleId="49">
    <w:name w:val="Header Char"/>
    <w:basedOn w:val="2"/>
    <w:qFormat/>
    <w:uiPriority w:val="99"/>
  </w:style>
  <w:style w:type="character" w:customStyle="1" w:styleId="50">
    <w:name w:val="Footer Char"/>
    <w:basedOn w:val="2"/>
    <w:qFormat/>
    <w:uiPriority w:val="99"/>
  </w:style>
  <w:style w:type="character" w:customStyle="1" w:styleId="51">
    <w:name w:val="Caption Char"/>
    <w:qFormat/>
    <w:uiPriority w:val="99"/>
  </w:style>
  <w:style w:type="table" w:customStyle="1" w:styleId="52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4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5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9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0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1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2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3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4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5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7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8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9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0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1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2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4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5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6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7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8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9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1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2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3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4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5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6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7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88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89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0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1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2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3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6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7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8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9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4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6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7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8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09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0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1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2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3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4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6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7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8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19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0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1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2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3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4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5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6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7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8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9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0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1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2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3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4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5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6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7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38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39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0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1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2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3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4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5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0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1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7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8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59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0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1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2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3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5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6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7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8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9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0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1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2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3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4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5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6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7">
    <w:name w:val="Текст сноски Знак"/>
    <w:link w:val="9"/>
    <w:qFormat/>
    <w:uiPriority w:val="99"/>
    <w:rPr>
      <w:sz w:val="18"/>
    </w:rPr>
  </w:style>
  <w:style w:type="character" w:customStyle="1" w:styleId="178">
    <w:name w:val="Текст концевой сноски Знак"/>
    <w:link w:val="8"/>
    <w:qFormat/>
    <w:uiPriority w:val="99"/>
    <w:rPr>
      <w:sz w:val="20"/>
    </w:rPr>
  </w:style>
  <w:style w:type="paragraph" w:customStyle="1" w:styleId="179">
    <w:name w:val="Заголовок оглавления1"/>
    <w:unhideWhenUsed/>
    <w:qFormat/>
    <w:uiPriority w:val="39"/>
    <w:rPr>
      <w:rFonts w:asciiTheme="minorHAnsi" w:hAnsiTheme="minorHAnsi" w:eastAsiaTheme="minorEastAsia" w:cstheme="minorBidi"/>
      <w:lang w:val="ru-RU" w:eastAsia="ru-RU" w:bidi="ar-SA"/>
    </w:rPr>
  </w:style>
  <w:style w:type="paragraph" w:customStyle="1" w:styleId="180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customStyle="1" w:styleId="181">
    <w:name w:val="Header"/>
    <w:basedOn w:val="1"/>
    <w:link w:val="18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2">
    <w:name w:val="Footer"/>
    <w:basedOn w:val="1"/>
    <w:link w:val="18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84">
    <w:name w:val="List Paragraph"/>
    <w:basedOn w:val="1"/>
    <w:qFormat/>
    <w:uiPriority w:val="34"/>
    <w:pPr>
      <w:ind w:left="720"/>
      <w:contextualSpacing/>
    </w:pPr>
  </w:style>
  <w:style w:type="character" w:customStyle="1" w:styleId="185">
    <w:name w:val="Обычный (веб) Знак"/>
    <w:link w:val="21"/>
    <w:qFormat/>
    <w:uiPriority w:val="0"/>
    <w:rPr>
      <w:sz w:val="24"/>
      <w:szCs w:val="24"/>
    </w:rPr>
  </w:style>
  <w:style w:type="paragraph" w:customStyle="1" w:styleId="186">
    <w:name w:val="Абзац списка1"/>
    <w:basedOn w:val="1"/>
    <w:qFormat/>
    <w:uiPriority w:val="0"/>
    <w:pPr>
      <w:ind w:left="720"/>
    </w:pPr>
    <w:rPr>
      <w:rFonts w:ascii="Calibri" w:hAnsi="Calibri" w:eastAsia="Times New Roman" w:cs="Calibri"/>
    </w:rPr>
  </w:style>
  <w:style w:type="paragraph" w:customStyle="1" w:styleId="187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188">
    <w:name w:val="Верхний колонтитул Знак"/>
    <w:basedOn w:val="2"/>
    <w:link w:val="181"/>
    <w:semiHidden/>
    <w:qFormat/>
    <w:uiPriority w:val="99"/>
  </w:style>
  <w:style w:type="character" w:customStyle="1" w:styleId="189">
    <w:name w:val="Нижний колонтитул Знак"/>
    <w:basedOn w:val="2"/>
    <w:link w:val="182"/>
    <w:qFormat/>
    <w:uiPriority w:val="99"/>
  </w:style>
  <w:style w:type="character" w:customStyle="1" w:styleId="190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3D0455-116A-4BAC-B5BA-587D6C118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9</Pages>
  <Words>2588</Words>
  <Characters>15417</Characters>
  <Lines>124</Lines>
  <Paragraphs>35</Paragraphs>
  <TotalTime>102</TotalTime>
  <ScaleCrop>false</ScaleCrop>
  <LinksUpToDate>false</LinksUpToDate>
  <CharactersWithSpaces>17804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2024-05-24T08:46:00Z</dcterms:created>
  <dc:creator>RePack by Diakov</dc:creator>
  <cp:lastModifiedBy>Guskova</cp:lastModifiedBy>
  <cp:lastPrinted>2026-05-21T10:49:00Z</cp:lastPrinted>
  <dcterms:modified xsi:type="dcterms:W3CDTF">2026-05-29T12:48:18Z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CE89F794F7614E3DB171C903F623BBAB_13</vt:lpwstr>
  </property>
  <property fmtid="{D5CDD505-2E9C-101B-9397-08002B2CF9AE}" pid="4" name="KSOTemplateDocerSaveRecord">
    <vt:lpwstr>eyJoZGlkIjoiY2ViYmFhNWYwYWIwODFlNTUyMTA1ZjI2Yzk3MzA2NmYifQ==</vt:lpwstr>
  </property>
</Properties>
</file>